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 w:val="0"/>
          <w:bCs w:val="0"/>
          <w:color w:val="000000"/>
          <w:sz w:val="32"/>
          <w:szCs w:val="32"/>
        </w:rPr>
      </w:pPr>
      <w:r>
        <w:rPr>
          <w:rFonts w:hint="default" w:ascii="Times New Roman" w:hAnsi="Times New Roman" w:eastAsia="方正小标宋简体" w:cs="Times New Roman"/>
          <w:b w:val="0"/>
          <w:bCs w:val="0"/>
          <w:color w:val="000000"/>
          <w:sz w:val="32"/>
          <w:szCs w:val="32"/>
        </w:rPr>
        <w:t>2026年北京市自镇流LED灯产品质量监督抽查实施细则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41726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抽样基数满足抽样数量即可，对于自镇流LED灯，抽取3只，其中2只为检验用样品，另1只为备用样品。</w:t>
      </w:r>
    </w:p>
    <w:p w14:paraId="5E4C6FBC">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3526"/>
        <w:gridCol w:w="2220"/>
        <w:gridCol w:w="2162"/>
      </w:tblGrid>
      <w:tr w14:paraId="7C2A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120" w:type="dxa"/>
            <w:noWrap w:val="0"/>
            <w:vAlign w:val="center"/>
          </w:tcPr>
          <w:p w14:paraId="6EEC61C5">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序号</w:t>
            </w:r>
          </w:p>
        </w:tc>
        <w:tc>
          <w:tcPr>
            <w:tcW w:w="3526" w:type="dxa"/>
            <w:noWrap w:val="0"/>
            <w:vAlign w:val="center"/>
          </w:tcPr>
          <w:p w14:paraId="04450065">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检验项目</w:t>
            </w:r>
          </w:p>
        </w:tc>
        <w:tc>
          <w:tcPr>
            <w:tcW w:w="2220" w:type="dxa"/>
            <w:noWrap w:val="0"/>
            <w:vAlign w:val="center"/>
          </w:tcPr>
          <w:p w14:paraId="1745C676">
            <w:pPr>
              <w:snapToGrid w:val="0"/>
              <w:jc w:val="center"/>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eastAsiaTheme="minorEastAsia"/>
                <w:color w:val="000000"/>
                <w:szCs w:val="21"/>
                <w:lang w:val="en-US" w:eastAsia="zh-CN"/>
              </w:rPr>
              <w:t>检验依据</w:t>
            </w:r>
          </w:p>
        </w:tc>
        <w:tc>
          <w:tcPr>
            <w:tcW w:w="2162" w:type="dxa"/>
            <w:noWrap w:val="0"/>
            <w:vAlign w:val="center"/>
          </w:tcPr>
          <w:p w14:paraId="39B5218A">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检验方法</w:t>
            </w:r>
          </w:p>
        </w:tc>
      </w:tr>
      <w:tr w14:paraId="78EFF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6B486E71">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1</w:t>
            </w:r>
          </w:p>
        </w:tc>
        <w:tc>
          <w:tcPr>
            <w:tcW w:w="3526" w:type="dxa"/>
            <w:noWrap w:val="0"/>
            <w:vAlign w:val="center"/>
          </w:tcPr>
          <w:p w14:paraId="3442BC6D">
            <w:pPr>
              <w:jc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kern w:val="0"/>
                <w:szCs w:val="21"/>
              </w:rPr>
              <w:t>互换性</w:t>
            </w:r>
          </w:p>
        </w:tc>
        <w:tc>
          <w:tcPr>
            <w:tcW w:w="2220" w:type="dxa"/>
            <w:noWrap w:val="0"/>
            <w:vAlign w:val="center"/>
          </w:tcPr>
          <w:p w14:paraId="373D1C82">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c>
          <w:tcPr>
            <w:tcW w:w="2162" w:type="dxa"/>
            <w:noWrap w:val="0"/>
            <w:vAlign w:val="center"/>
          </w:tcPr>
          <w:p w14:paraId="625600B7">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r>
      <w:tr w14:paraId="78B2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3FEFD671">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2</w:t>
            </w:r>
          </w:p>
        </w:tc>
        <w:tc>
          <w:tcPr>
            <w:tcW w:w="3526" w:type="dxa"/>
            <w:noWrap w:val="0"/>
            <w:vAlign w:val="center"/>
          </w:tcPr>
          <w:p w14:paraId="3D1BF4AA">
            <w:pPr>
              <w:snapToGrid w:val="0"/>
              <w:jc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kern w:val="0"/>
                <w:szCs w:val="21"/>
              </w:rPr>
              <w:t>意外接触带电部件的防护</w:t>
            </w:r>
          </w:p>
        </w:tc>
        <w:tc>
          <w:tcPr>
            <w:tcW w:w="2220" w:type="dxa"/>
            <w:noWrap w:val="0"/>
            <w:vAlign w:val="center"/>
          </w:tcPr>
          <w:p w14:paraId="2491CDB3">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c>
          <w:tcPr>
            <w:tcW w:w="2162" w:type="dxa"/>
            <w:noWrap w:val="0"/>
            <w:vAlign w:val="center"/>
          </w:tcPr>
          <w:p w14:paraId="3892D3EA">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r>
      <w:tr w14:paraId="5912F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55C8C444">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3</w:t>
            </w:r>
          </w:p>
        </w:tc>
        <w:tc>
          <w:tcPr>
            <w:tcW w:w="3526" w:type="dxa"/>
            <w:noWrap w:val="0"/>
            <w:vAlign w:val="center"/>
          </w:tcPr>
          <w:p w14:paraId="51203331">
            <w:pPr>
              <w:snapToGrid w:val="0"/>
              <w:jc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kern w:val="0"/>
                <w:szCs w:val="21"/>
              </w:rPr>
              <w:t>潮湿处理后的绝缘电阻和介电强度</w:t>
            </w:r>
          </w:p>
        </w:tc>
        <w:tc>
          <w:tcPr>
            <w:tcW w:w="2220" w:type="dxa"/>
            <w:noWrap w:val="0"/>
            <w:vAlign w:val="center"/>
          </w:tcPr>
          <w:p w14:paraId="43F9C414">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c>
          <w:tcPr>
            <w:tcW w:w="2162" w:type="dxa"/>
            <w:noWrap w:val="0"/>
            <w:vAlign w:val="center"/>
          </w:tcPr>
          <w:p w14:paraId="67799FC0">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r>
      <w:tr w14:paraId="3669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7FA5682D">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4</w:t>
            </w:r>
          </w:p>
        </w:tc>
        <w:tc>
          <w:tcPr>
            <w:tcW w:w="3526" w:type="dxa"/>
            <w:noWrap w:val="0"/>
            <w:vAlign w:val="center"/>
          </w:tcPr>
          <w:p w14:paraId="747EF62E">
            <w:pPr>
              <w:jc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kern w:val="0"/>
                <w:szCs w:val="21"/>
              </w:rPr>
              <w:t>机械强度</w:t>
            </w:r>
          </w:p>
        </w:tc>
        <w:tc>
          <w:tcPr>
            <w:tcW w:w="2220" w:type="dxa"/>
            <w:noWrap w:val="0"/>
            <w:vAlign w:val="center"/>
          </w:tcPr>
          <w:p w14:paraId="756CD1F9">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c>
          <w:tcPr>
            <w:tcW w:w="2162" w:type="dxa"/>
            <w:noWrap w:val="0"/>
            <w:vAlign w:val="center"/>
          </w:tcPr>
          <w:p w14:paraId="6812DB1E">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r>
      <w:tr w14:paraId="7F23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120" w:type="dxa"/>
            <w:noWrap w:val="0"/>
            <w:vAlign w:val="center"/>
          </w:tcPr>
          <w:p w14:paraId="67A8D4FD">
            <w:pPr>
              <w:snapToGrid w:val="0"/>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5</w:t>
            </w:r>
          </w:p>
        </w:tc>
        <w:tc>
          <w:tcPr>
            <w:tcW w:w="3526" w:type="dxa"/>
            <w:noWrap w:val="0"/>
            <w:vAlign w:val="center"/>
          </w:tcPr>
          <w:p w14:paraId="5D98F0B7">
            <w:pPr>
              <w:jc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kern w:val="0"/>
                <w:szCs w:val="21"/>
              </w:rPr>
              <w:t>耐热性</w:t>
            </w:r>
          </w:p>
        </w:tc>
        <w:tc>
          <w:tcPr>
            <w:tcW w:w="2220" w:type="dxa"/>
            <w:noWrap w:val="0"/>
            <w:vAlign w:val="center"/>
          </w:tcPr>
          <w:p w14:paraId="46F26B13">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w:t>
            </w:r>
            <w:bookmarkStart w:id="0" w:name="_GoBack"/>
            <w:bookmarkEnd w:id="0"/>
            <w:r>
              <w:rPr>
                <w:rFonts w:hint="default" w:ascii="Times New Roman" w:hAnsi="Times New Roman" w:cs="Times New Roman" w:eastAsiaTheme="minorEastAsia"/>
                <w:szCs w:val="21"/>
                <w:lang w:val="en-US" w:eastAsia="zh-CN"/>
              </w:rPr>
              <w:t>023</w:t>
            </w:r>
          </w:p>
        </w:tc>
        <w:tc>
          <w:tcPr>
            <w:tcW w:w="2162" w:type="dxa"/>
            <w:noWrap w:val="0"/>
            <w:vAlign w:val="center"/>
          </w:tcPr>
          <w:p w14:paraId="5CEDF7B0">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r>
      <w:tr w14:paraId="0EF7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1747E110">
            <w:pPr>
              <w:snapToGrid w:val="0"/>
              <w:jc w:val="center"/>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eastAsiaTheme="minorEastAsia"/>
                <w:color w:val="000000"/>
                <w:szCs w:val="21"/>
                <w:lang w:val="en-US" w:eastAsia="zh-CN"/>
              </w:rPr>
              <w:t>6</w:t>
            </w:r>
          </w:p>
        </w:tc>
        <w:tc>
          <w:tcPr>
            <w:tcW w:w="3526" w:type="dxa"/>
            <w:noWrap w:val="0"/>
            <w:vAlign w:val="center"/>
          </w:tcPr>
          <w:p w14:paraId="29F64D54">
            <w:pPr>
              <w:keepNext w:val="0"/>
              <w:keepLines w:val="0"/>
              <w:widowControl/>
              <w:suppressLineNumbers w:val="0"/>
              <w:jc w:val="center"/>
              <w:textAlignment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i w:val="0"/>
                <w:iCs w:val="0"/>
                <w:color w:val="000000"/>
                <w:kern w:val="0"/>
                <w:sz w:val="22"/>
                <w:szCs w:val="22"/>
                <w:u w:val="none"/>
                <w:lang w:val="en-US" w:eastAsia="zh-CN" w:bidi="ar"/>
              </w:rPr>
              <w:t>防火与防燃</w:t>
            </w:r>
          </w:p>
        </w:tc>
        <w:tc>
          <w:tcPr>
            <w:tcW w:w="2220" w:type="dxa"/>
            <w:noWrap w:val="0"/>
            <w:vAlign w:val="center"/>
          </w:tcPr>
          <w:p w14:paraId="4AF27C58">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c>
          <w:tcPr>
            <w:tcW w:w="2162" w:type="dxa"/>
            <w:noWrap w:val="0"/>
            <w:vAlign w:val="center"/>
          </w:tcPr>
          <w:p w14:paraId="4B323F7C">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lang w:val="en-US" w:eastAsia="zh-CN"/>
              </w:rPr>
              <w:t>24906</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val="en-US" w:eastAsia="zh-CN"/>
              </w:rPr>
              <w:t>2023</w:t>
            </w:r>
          </w:p>
        </w:tc>
      </w:tr>
      <w:tr w14:paraId="28C4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19BBF6C2">
            <w:pPr>
              <w:snapToGrid w:val="0"/>
              <w:jc w:val="center"/>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eastAsiaTheme="minorEastAsia"/>
                <w:color w:val="000000"/>
                <w:szCs w:val="21"/>
                <w:lang w:val="en-US" w:eastAsia="zh-CN"/>
              </w:rPr>
              <w:t>7</w:t>
            </w:r>
          </w:p>
        </w:tc>
        <w:tc>
          <w:tcPr>
            <w:tcW w:w="3526" w:type="dxa"/>
            <w:noWrap w:val="0"/>
            <w:vAlign w:val="center"/>
          </w:tcPr>
          <w:p w14:paraId="582EB962">
            <w:pPr>
              <w:keepNext w:val="0"/>
              <w:keepLines w:val="0"/>
              <w:widowControl/>
              <w:suppressLineNumbers w:val="0"/>
              <w:jc w:val="center"/>
              <w:textAlignment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i w:val="0"/>
                <w:iCs w:val="0"/>
                <w:color w:val="000000"/>
                <w:kern w:val="0"/>
                <w:sz w:val="22"/>
                <w:szCs w:val="22"/>
                <w:u w:val="none"/>
                <w:lang w:val="en-US" w:eastAsia="zh-CN" w:bidi="ar"/>
              </w:rPr>
              <w:t>谐波电流</w:t>
            </w:r>
          </w:p>
        </w:tc>
        <w:tc>
          <w:tcPr>
            <w:tcW w:w="2220" w:type="dxa"/>
            <w:noWrap w:val="0"/>
            <w:vAlign w:val="center"/>
          </w:tcPr>
          <w:p w14:paraId="4EA2CA6E">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 17625.1—2022</w:t>
            </w:r>
          </w:p>
        </w:tc>
        <w:tc>
          <w:tcPr>
            <w:tcW w:w="2162" w:type="dxa"/>
            <w:noWrap w:val="0"/>
            <w:vAlign w:val="center"/>
          </w:tcPr>
          <w:p w14:paraId="59DF943D">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 17625.1—2022</w:t>
            </w:r>
          </w:p>
        </w:tc>
      </w:tr>
      <w:tr w14:paraId="46D6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0" w:type="dxa"/>
            <w:noWrap w:val="0"/>
            <w:vAlign w:val="center"/>
          </w:tcPr>
          <w:p w14:paraId="3E96BDC9">
            <w:pPr>
              <w:snapToGrid w:val="0"/>
              <w:jc w:val="center"/>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eastAsiaTheme="minorEastAsia"/>
                <w:color w:val="000000"/>
                <w:szCs w:val="21"/>
                <w:lang w:val="en-US" w:eastAsia="zh-CN"/>
              </w:rPr>
              <w:t>8</w:t>
            </w:r>
          </w:p>
        </w:tc>
        <w:tc>
          <w:tcPr>
            <w:tcW w:w="3526" w:type="dxa"/>
            <w:noWrap w:val="0"/>
            <w:vAlign w:val="center"/>
          </w:tcPr>
          <w:p w14:paraId="34A0AF56">
            <w:pPr>
              <w:keepNext w:val="0"/>
              <w:keepLines w:val="0"/>
              <w:widowControl/>
              <w:suppressLineNumbers w:val="0"/>
              <w:jc w:val="center"/>
              <w:textAlignment w:val="center"/>
              <w:rPr>
                <w:rFonts w:hint="default" w:ascii="Times New Roman" w:hAnsi="Times New Roman" w:cs="Times New Roman" w:eastAsiaTheme="minorEastAsia"/>
                <w:kern w:val="0"/>
                <w:szCs w:val="21"/>
              </w:rPr>
            </w:pPr>
            <w:r>
              <w:rPr>
                <w:rFonts w:hint="default" w:ascii="Times New Roman" w:hAnsi="Times New Roman" w:cs="Times New Roman" w:eastAsiaTheme="minorEastAsia"/>
                <w:i w:val="0"/>
                <w:iCs w:val="0"/>
                <w:color w:val="000000"/>
                <w:kern w:val="0"/>
                <w:sz w:val="22"/>
                <w:szCs w:val="22"/>
                <w:u w:val="none"/>
                <w:lang w:val="en-US" w:eastAsia="zh-CN" w:bidi="ar"/>
              </w:rPr>
              <w:t>电源端子传导骚扰</w:t>
            </w:r>
          </w:p>
        </w:tc>
        <w:tc>
          <w:tcPr>
            <w:tcW w:w="2220" w:type="dxa"/>
            <w:noWrap w:val="0"/>
            <w:vAlign w:val="center"/>
          </w:tcPr>
          <w:p w14:paraId="2E33E266">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 17743—2021</w:t>
            </w:r>
          </w:p>
        </w:tc>
        <w:tc>
          <w:tcPr>
            <w:tcW w:w="2162" w:type="dxa"/>
            <w:noWrap w:val="0"/>
            <w:vAlign w:val="center"/>
          </w:tcPr>
          <w:p w14:paraId="6D57CB13">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GB/T 17743—2021</w:t>
            </w:r>
          </w:p>
        </w:tc>
      </w:tr>
    </w:tbl>
    <w:p w14:paraId="77FF147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27A9DE7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rPr>
        <w:t>GB</w:t>
      </w:r>
      <w:r>
        <w:rPr>
          <w:rFonts w:hint="default" w:ascii="Times New Roman" w:hAnsi="Times New Roman" w:eastAsia="宋体" w:cs="Times New Roman"/>
          <w:sz w:val="22"/>
          <w:szCs w:val="28"/>
          <w:lang w:val="en-US" w:eastAsia="zh-CN"/>
        </w:rPr>
        <w:t xml:space="preserve">/T </w:t>
      </w:r>
      <w:r>
        <w:rPr>
          <w:rFonts w:hint="default" w:ascii="Times New Roman" w:hAnsi="Times New Roman" w:eastAsia="宋体" w:cs="Times New Roman"/>
          <w:sz w:val="22"/>
          <w:szCs w:val="28"/>
        </w:rPr>
        <w:t>24906—</w:t>
      </w:r>
      <w:r>
        <w:rPr>
          <w:rFonts w:hint="default" w:ascii="Times New Roman" w:hAnsi="Times New Roman" w:eastAsia="宋体" w:cs="Times New Roman"/>
          <w:sz w:val="22"/>
          <w:szCs w:val="28"/>
          <w:lang w:val="en-US" w:eastAsia="zh-CN"/>
        </w:rPr>
        <w:t>2023</w:t>
      </w:r>
      <w:r>
        <w:rPr>
          <w:rFonts w:hint="default" w:ascii="Times New Roman" w:hAnsi="Times New Roman" w:eastAsia="宋体" w:cs="Times New Roman"/>
          <w:sz w:val="22"/>
          <w:szCs w:val="28"/>
        </w:rPr>
        <w:t xml:space="preserve"> 普通照明用50V以上自镇流LED灯 安全</w:t>
      </w:r>
      <w:r>
        <w:rPr>
          <w:rFonts w:hint="default" w:ascii="Times New Roman" w:hAnsi="Times New Roman" w:eastAsia="宋体" w:cs="Times New Roman"/>
          <w:sz w:val="22"/>
          <w:szCs w:val="28"/>
          <w:lang w:val="en-US" w:eastAsia="zh-CN"/>
        </w:rPr>
        <w:t>规范</w:t>
      </w:r>
    </w:p>
    <w:p w14:paraId="17F8318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17625.1—2022 电磁兼容 限值 第1部分：谐波电流发射限值(设备每相输入电流≤16A）</w:t>
      </w:r>
    </w:p>
    <w:p w14:paraId="5184C44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17743—2021 电气照明和类似设备的无线电骚扰特性的限值和测量方法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36839EA"/>
    <w:rsid w:val="06E03F13"/>
    <w:rsid w:val="070E6657"/>
    <w:rsid w:val="0CD143AE"/>
    <w:rsid w:val="0D343503"/>
    <w:rsid w:val="0F7061DA"/>
    <w:rsid w:val="13144FF5"/>
    <w:rsid w:val="149E7B87"/>
    <w:rsid w:val="156C55BC"/>
    <w:rsid w:val="1B065B6B"/>
    <w:rsid w:val="1E7B23CC"/>
    <w:rsid w:val="222A1341"/>
    <w:rsid w:val="29B570DA"/>
    <w:rsid w:val="2B4863B8"/>
    <w:rsid w:val="2B830B12"/>
    <w:rsid w:val="2E5977D4"/>
    <w:rsid w:val="2E8C4181"/>
    <w:rsid w:val="2ED81174"/>
    <w:rsid w:val="387020B8"/>
    <w:rsid w:val="38A81BB8"/>
    <w:rsid w:val="38C20B50"/>
    <w:rsid w:val="3D4972B1"/>
    <w:rsid w:val="3D4D275B"/>
    <w:rsid w:val="3E0F5B7A"/>
    <w:rsid w:val="408E5B37"/>
    <w:rsid w:val="42C54070"/>
    <w:rsid w:val="43081BD1"/>
    <w:rsid w:val="439E0D9F"/>
    <w:rsid w:val="44512568"/>
    <w:rsid w:val="46050649"/>
    <w:rsid w:val="46F26E20"/>
    <w:rsid w:val="470C0994"/>
    <w:rsid w:val="48797678"/>
    <w:rsid w:val="4C6D02BD"/>
    <w:rsid w:val="4E227B86"/>
    <w:rsid w:val="4E3A2F69"/>
    <w:rsid w:val="4E813C0F"/>
    <w:rsid w:val="523C53F3"/>
    <w:rsid w:val="534D3EB1"/>
    <w:rsid w:val="58705DF6"/>
    <w:rsid w:val="592E4311"/>
    <w:rsid w:val="5B177556"/>
    <w:rsid w:val="649B4036"/>
    <w:rsid w:val="66F127F8"/>
    <w:rsid w:val="6864524C"/>
    <w:rsid w:val="68932257"/>
    <w:rsid w:val="6BEE6C3D"/>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772</Words>
  <Characters>991</Characters>
  <Lines>0</Lines>
  <Paragraphs>0</Paragraphs>
  <TotalTime>11</TotalTime>
  <ScaleCrop>false</ScaleCrop>
  <LinksUpToDate>false</LinksUpToDate>
  <CharactersWithSpaces>1009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2026-06-30T08:28:09Z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FD142387B4E945449B37026184544D69_13</vt:lpwstr>
  </property>
  <property fmtid="{D5CDD505-2E9C-101B-9397-08002B2CF9AE}" pid="4" name="KSOTemplateDocerSaveRecord">
    <vt:lpwstr>eyJoZGlkIjoiYjU4YTEyOWI0YTA1NzExMDUyM2E4NzRjZjM1MmQ2OWEiLCJ1c2VySWQiOiIxMTI2NTcyODI0In0=</vt:lpwstr>
  </property>
</Properties>
</file>